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4A718C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C075C">
        <w:rPr>
          <w:rFonts w:ascii="Arial" w:hAnsi="Arial" w:cs="Arial"/>
          <w:b/>
          <w:sz w:val="20"/>
          <w:szCs w:val="20"/>
        </w:rPr>
        <w:t>Annual General Mandate 2020</w:t>
      </w:r>
    </w:p>
    <w:p w:rsidR="00A405EB" w:rsidRDefault="00B70D7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A718C">
        <w:rPr>
          <w:rFonts w:ascii="Arial" w:hAnsi="Arial" w:cs="Arial"/>
          <w:sz w:val="20"/>
          <w:szCs w:val="20"/>
        </w:rPr>
        <w:t>18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4A718C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4A718C" w:rsidRPr="004A718C">
        <w:rPr>
          <w:rFonts w:ascii="Arial" w:hAnsi="Arial" w:cs="Arial"/>
          <w:sz w:val="20"/>
          <w:szCs w:val="20"/>
        </w:rPr>
        <w:t>Architects &amp; Construction Service Corporation</w:t>
      </w:r>
      <w:r w:rsidR="004A718C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A718C">
        <w:rPr>
          <w:rFonts w:ascii="Arial" w:hAnsi="Arial" w:cs="Arial"/>
          <w:sz w:val="20"/>
          <w:szCs w:val="20"/>
        </w:rPr>
        <w:t>annual General Mandate 2020</w:t>
      </w:r>
      <w:r w:rsidR="00A55655" w:rsidRPr="00A5565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A718C" w:rsidRDefault="004A718C" w:rsidP="004A71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18C">
        <w:rPr>
          <w:rFonts w:ascii="Arial" w:hAnsi="Arial" w:cs="Arial"/>
          <w:sz w:val="20"/>
          <w:szCs w:val="20"/>
        </w:rPr>
        <w:t xml:space="preserve">Article 1: Approve the report of the Board of Directors on the summary of business activities in 2019 and the summary of the term of </w:t>
      </w:r>
      <w:r>
        <w:rPr>
          <w:rFonts w:ascii="Arial" w:hAnsi="Arial" w:cs="Arial"/>
          <w:sz w:val="20"/>
          <w:szCs w:val="20"/>
        </w:rPr>
        <w:t>2015-</w:t>
      </w:r>
      <w:r w:rsidRPr="004A718C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of </w:t>
      </w:r>
      <w:r w:rsidRPr="004A718C">
        <w:rPr>
          <w:rFonts w:ascii="Arial" w:hAnsi="Arial" w:cs="Arial"/>
          <w:sz w:val="20"/>
          <w:szCs w:val="20"/>
        </w:rPr>
        <w:t xml:space="preserve">the Board of Directors </w:t>
      </w:r>
    </w:p>
    <w:p w:rsidR="004A718C" w:rsidRDefault="004A718C" w:rsidP="004A71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18C">
        <w:rPr>
          <w:rFonts w:ascii="Arial" w:hAnsi="Arial" w:cs="Arial"/>
          <w:sz w:val="20"/>
          <w:szCs w:val="20"/>
        </w:rPr>
        <w:t>Article 2: Approve the report of the Internal Audit on the inspection and supervision of activities i</w:t>
      </w:r>
      <w:r>
        <w:rPr>
          <w:rFonts w:ascii="Arial" w:hAnsi="Arial" w:cs="Arial"/>
          <w:sz w:val="20"/>
          <w:szCs w:val="20"/>
        </w:rPr>
        <w:t>n 2019 and the operation plan for</w:t>
      </w:r>
      <w:r w:rsidRPr="004A718C">
        <w:rPr>
          <w:rFonts w:ascii="Arial" w:hAnsi="Arial" w:cs="Arial"/>
          <w:sz w:val="20"/>
          <w:szCs w:val="20"/>
        </w:rPr>
        <w:t xml:space="preserve"> 2020 </w:t>
      </w:r>
    </w:p>
    <w:p w:rsidR="004A718C" w:rsidRDefault="004A718C" w:rsidP="004A71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18C">
        <w:rPr>
          <w:rFonts w:ascii="Arial" w:hAnsi="Arial" w:cs="Arial"/>
          <w:sz w:val="20"/>
          <w:szCs w:val="20"/>
        </w:rPr>
        <w:t xml:space="preserve">Article 3: Approve the direction of operation in 2020 and the period 2020 - 2025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055"/>
        <w:gridCol w:w="1485"/>
        <w:gridCol w:w="1150"/>
        <w:gridCol w:w="1252"/>
        <w:gridCol w:w="1081"/>
      </w:tblGrid>
      <w:tr w:rsidR="004A718C" w:rsidTr="00956538">
        <w:tc>
          <w:tcPr>
            <w:tcW w:w="553" w:type="dxa"/>
            <w:vMerge w:val="restart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55" w:type="dxa"/>
            <w:vMerge w:val="restart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  <w:r w:rsidRPr="004A71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vMerge w:val="restart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150" w:type="dxa"/>
            <w:vMerge w:val="restart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Compared to 2019</w:t>
            </w:r>
          </w:p>
        </w:tc>
        <w:tc>
          <w:tcPr>
            <w:tcW w:w="2333" w:type="dxa"/>
            <w:gridSpan w:val="2"/>
          </w:tcPr>
          <w:p w:rsidR="004A718C" w:rsidRDefault="004A718C" w:rsidP="004A71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Compared to 2019</w:t>
            </w:r>
          </w:p>
        </w:tc>
      </w:tr>
      <w:tr w:rsidR="004A718C" w:rsidTr="00956538">
        <w:tc>
          <w:tcPr>
            <w:tcW w:w="553" w:type="dxa"/>
            <w:vMerge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vMerge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Increase/ decrease</w:t>
            </w:r>
          </w:p>
        </w:tc>
        <w:tc>
          <w:tcPr>
            <w:tcW w:w="1081" w:type="dxa"/>
          </w:tcPr>
          <w:p w:rsidR="004A718C" w:rsidRDefault="004A718C" w:rsidP="004A71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Rate</w:t>
            </w:r>
          </w:p>
        </w:tc>
      </w:tr>
      <w:tr w:rsidR="004A718C" w:rsidTr="00956538">
        <w:tc>
          <w:tcPr>
            <w:tcW w:w="553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5" w:type="dxa"/>
          </w:tcPr>
          <w:p w:rsidR="004A718C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t</w:t>
            </w:r>
            <w:r w:rsidR="004A718C" w:rsidRPr="004A718C">
              <w:rPr>
                <w:rFonts w:ascii="Arial" w:hAnsi="Arial" w:cs="Arial"/>
                <w:sz w:val="20"/>
                <w:szCs w:val="20"/>
              </w:rPr>
              <w:t>otal revenue  (VND billion)</w:t>
            </w:r>
          </w:p>
        </w:tc>
        <w:tc>
          <w:tcPr>
            <w:tcW w:w="1485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50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1252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-277</w:t>
            </w:r>
          </w:p>
        </w:tc>
        <w:tc>
          <w:tcPr>
            <w:tcW w:w="1081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-32%</w:t>
            </w:r>
          </w:p>
        </w:tc>
      </w:tr>
      <w:tr w:rsidR="004A718C" w:rsidTr="00956538">
        <w:tc>
          <w:tcPr>
            <w:tcW w:w="553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5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Profit before tax (VND billion)</w:t>
            </w:r>
          </w:p>
        </w:tc>
        <w:tc>
          <w:tcPr>
            <w:tcW w:w="1485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52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-1.3</w:t>
            </w:r>
          </w:p>
        </w:tc>
        <w:tc>
          <w:tcPr>
            <w:tcW w:w="1081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-25%</w:t>
            </w:r>
          </w:p>
        </w:tc>
      </w:tr>
      <w:tr w:rsidR="004A718C" w:rsidTr="00956538">
        <w:tc>
          <w:tcPr>
            <w:tcW w:w="553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5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Profit after tax (VND billion)</w:t>
            </w:r>
          </w:p>
        </w:tc>
        <w:tc>
          <w:tcPr>
            <w:tcW w:w="1485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50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52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  <w:tc>
          <w:tcPr>
            <w:tcW w:w="1081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-26%</w:t>
            </w:r>
          </w:p>
        </w:tc>
      </w:tr>
      <w:tr w:rsidR="004A718C" w:rsidTr="00956538">
        <w:tc>
          <w:tcPr>
            <w:tcW w:w="553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5" w:type="dxa"/>
          </w:tcPr>
          <w:p w:rsidR="004A718C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dividend payment to</w:t>
            </w:r>
            <w:r w:rsidR="004A718C" w:rsidRPr="004A718C">
              <w:rPr>
                <w:rFonts w:ascii="Arial" w:hAnsi="Arial" w:cs="Arial"/>
                <w:sz w:val="20"/>
                <w:szCs w:val="20"/>
              </w:rPr>
              <w:t xml:space="preserve"> shareholders (%) </w:t>
            </w:r>
          </w:p>
        </w:tc>
        <w:tc>
          <w:tcPr>
            <w:tcW w:w="1485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Expected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18C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52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8C" w:rsidTr="00956538">
        <w:tc>
          <w:tcPr>
            <w:tcW w:w="553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5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18C">
              <w:rPr>
                <w:rFonts w:ascii="Arial" w:hAnsi="Arial" w:cs="Arial"/>
                <w:sz w:val="20"/>
                <w:szCs w:val="20"/>
              </w:rPr>
              <w:t>Average i</w:t>
            </w:r>
            <w:r w:rsidR="00956538">
              <w:rPr>
                <w:rFonts w:ascii="Arial" w:hAnsi="Arial" w:cs="Arial"/>
                <w:sz w:val="20"/>
                <w:szCs w:val="20"/>
              </w:rPr>
              <w:t>ncome of employees (million VND/person/</w:t>
            </w:r>
            <w:r w:rsidRPr="004A718C">
              <w:rPr>
                <w:rFonts w:ascii="Arial" w:hAnsi="Arial" w:cs="Arial"/>
                <w:sz w:val="20"/>
                <w:szCs w:val="20"/>
              </w:rPr>
              <w:t>month)</w:t>
            </w:r>
          </w:p>
        </w:tc>
        <w:tc>
          <w:tcPr>
            <w:tcW w:w="1485" w:type="dxa"/>
          </w:tcPr>
          <w:p w:rsidR="004A718C" w:rsidRDefault="00956538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year 2019</w:t>
            </w:r>
          </w:p>
        </w:tc>
        <w:tc>
          <w:tcPr>
            <w:tcW w:w="1150" w:type="dxa"/>
          </w:tcPr>
          <w:p w:rsidR="004A718C" w:rsidRDefault="00956538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VND 16.3 million</w:t>
            </w:r>
          </w:p>
        </w:tc>
        <w:tc>
          <w:tcPr>
            <w:tcW w:w="1252" w:type="dxa"/>
          </w:tcPr>
          <w:p w:rsidR="004A718C" w:rsidRDefault="004A718C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:rsidR="004A718C" w:rsidRDefault="00956538" w:rsidP="004A71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4A718C" w:rsidRDefault="004A718C" w:rsidP="004A71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6538" w:rsidRDefault="00956538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538">
        <w:rPr>
          <w:rFonts w:ascii="Arial" w:hAnsi="Arial" w:cs="Arial"/>
          <w:sz w:val="20"/>
          <w:szCs w:val="20"/>
        </w:rPr>
        <w:t xml:space="preserve">Article 4: Approve the 2019 </w:t>
      </w:r>
      <w:r>
        <w:rPr>
          <w:rFonts w:ascii="Arial" w:hAnsi="Arial" w:cs="Arial"/>
          <w:sz w:val="20"/>
          <w:szCs w:val="20"/>
        </w:rPr>
        <w:t>financial statement</w:t>
      </w:r>
      <w:r w:rsidRPr="00956538">
        <w:rPr>
          <w:rFonts w:ascii="Arial" w:hAnsi="Arial" w:cs="Arial"/>
          <w:sz w:val="20"/>
          <w:szCs w:val="20"/>
        </w:rPr>
        <w:t xml:space="preserve"> </w:t>
      </w:r>
    </w:p>
    <w:p w:rsidR="00956538" w:rsidRDefault="00956538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538">
        <w:rPr>
          <w:rFonts w:ascii="Arial" w:hAnsi="Arial" w:cs="Arial"/>
          <w:sz w:val="20"/>
          <w:szCs w:val="20"/>
        </w:rPr>
        <w:t xml:space="preserve">Article 5: Approve the </w:t>
      </w:r>
      <w:r>
        <w:rPr>
          <w:rFonts w:ascii="Arial" w:hAnsi="Arial" w:cs="Arial"/>
          <w:sz w:val="20"/>
          <w:szCs w:val="20"/>
        </w:rPr>
        <w:t>statement on</w:t>
      </w:r>
      <w:r w:rsidRPr="00956538">
        <w:rPr>
          <w:rFonts w:ascii="Arial" w:hAnsi="Arial" w:cs="Arial"/>
          <w:sz w:val="20"/>
          <w:szCs w:val="20"/>
        </w:rPr>
        <w:t xml:space="preserve"> profit distribution and dividend payment in 2019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956538" w:rsidTr="00956538">
        <w:tc>
          <w:tcPr>
            <w:tcW w:w="648" w:type="dxa"/>
          </w:tcPr>
          <w:p w:rsidR="00956538" w:rsidRDefault="00956538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40" w:type="dxa"/>
          </w:tcPr>
          <w:p w:rsidR="00956538" w:rsidRDefault="00956538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956538" w:rsidRDefault="00956538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394" w:type="dxa"/>
          </w:tcPr>
          <w:p w:rsidR="00956538" w:rsidRDefault="00956538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(VND)</w:t>
            </w:r>
          </w:p>
        </w:tc>
      </w:tr>
      <w:tr w:rsidR="00956538" w:rsidTr="00956538">
        <w:tc>
          <w:tcPr>
            <w:tcW w:w="648" w:type="dxa"/>
          </w:tcPr>
          <w:p w:rsidR="00956538" w:rsidRDefault="00956538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956538" w:rsidRDefault="00956538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Profit before tax according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consolidated financial statement </w:t>
            </w:r>
          </w:p>
        </w:tc>
        <w:tc>
          <w:tcPr>
            <w:tcW w:w="2394" w:type="dxa"/>
          </w:tcPr>
          <w:p w:rsidR="00956538" w:rsidRDefault="00956538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56538" w:rsidRDefault="00956538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5,349,466,089</w:t>
            </w:r>
          </w:p>
        </w:tc>
      </w:tr>
      <w:tr w:rsidR="00956538" w:rsidTr="00956538">
        <w:tc>
          <w:tcPr>
            <w:tcW w:w="648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 xml:space="preserve">Profit </w:t>
            </w:r>
            <w:r>
              <w:rPr>
                <w:rFonts w:ascii="Arial" w:hAnsi="Arial" w:cs="Arial"/>
                <w:sz w:val="20"/>
                <w:szCs w:val="20"/>
              </w:rPr>
              <w:t>after</w:t>
            </w:r>
            <w:r w:rsidRPr="00956538">
              <w:rPr>
                <w:rFonts w:ascii="Arial" w:hAnsi="Arial" w:cs="Arial"/>
                <w:sz w:val="20"/>
                <w:szCs w:val="20"/>
              </w:rPr>
              <w:t xml:space="preserve"> tax according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consolidated financial statement 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4,231,548,791</w:t>
            </w:r>
          </w:p>
        </w:tc>
      </w:tr>
      <w:tr w:rsidR="00956538" w:rsidTr="00956538">
        <w:tc>
          <w:tcPr>
            <w:tcW w:w="648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of the holding company 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5,413,960,811</w:t>
            </w:r>
          </w:p>
        </w:tc>
      </w:tr>
      <w:tr w:rsidR="00956538" w:rsidTr="00956538">
        <w:tc>
          <w:tcPr>
            <w:tcW w:w="648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of the holding company 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4,330,503,384</w:t>
            </w:r>
          </w:p>
        </w:tc>
      </w:tr>
      <w:tr w:rsidR="00956538" w:rsidTr="00956538">
        <w:tc>
          <w:tcPr>
            <w:tcW w:w="648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for distribution 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4,231,548,791</w:t>
            </w:r>
          </w:p>
        </w:tc>
      </w:tr>
      <w:tr w:rsidR="00956538" w:rsidTr="00956538">
        <w:tc>
          <w:tcPr>
            <w:tcW w:w="648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distribution 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4,231,548,791</w:t>
            </w:r>
          </w:p>
        </w:tc>
      </w:tr>
      <w:tr w:rsidR="00956538" w:rsidTr="00956538">
        <w:tc>
          <w:tcPr>
            <w:tcW w:w="648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140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for dividend payment (expected) 10%/year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3,715,170,000</w:t>
            </w:r>
          </w:p>
        </w:tc>
      </w:tr>
      <w:tr w:rsidR="00956538" w:rsidTr="00956538">
        <w:tc>
          <w:tcPr>
            <w:tcW w:w="648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6.2</w:t>
            </w:r>
          </w:p>
        </w:tc>
        <w:tc>
          <w:tcPr>
            <w:tcW w:w="4140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Extracting to the Company’s fund (100%)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516,378,791</w:t>
            </w:r>
          </w:p>
        </w:tc>
      </w:tr>
      <w:tr w:rsidR="00956538" w:rsidTr="00956538">
        <w:tc>
          <w:tcPr>
            <w:tcW w:w="648" w:type="dxa"/>
          </w:tcPr>
          <w:p w:rsidR="00956538" w:rsidRDefault="00751972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40" w:type="dxa"/>
          </w:tcPr>
          <w:p w:rsidR="00956538" w:rsidRDefault="00751972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and Development Fund </w:t>
            </w:r>
          </w:p>
        </w:tc>
        <w:tc>
          <w:tcPr>
            <w:tcW w:w="2394" w:type="dxa"/>
          </w:tcPr>
          <w:p w:rsidR="00956538" w:rsidRDefault="00751972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394" w:type="dxa"/>
          </w:tcPr>
          <w:p w:rsid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258,189,396</w:t>
            </w:r>
          </w:p>
        </w:tc>
      </w:tr>
      <w:tr w:rsidR="00956538" w:rsidTr="00956538">
        <w:tc>
          <w:tcPr>
            <w:tcW w:w="648" w:type="dxa"/>
          </w:tcPr>
          <w:p w:rsidR="00956538" w:rsidRDefault="00751972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40" w:type="dxa"/>
          </w:tcPr>
          <w:p w:rsidR="00956538" w:rsidRDefault="00751972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2394" w:type="dxa"/>
          </w:tcPr>
          <w:p w:rsidR="00956538" w:rsidRDefault="00751972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394" w:type="dxa"/>
          </w:tcPr>
          <w:p w:rsidR="00956538" w:rsidRPr="00956538" w:rsidRDefault="00956538" w:rsidP="009565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38">
              <w:rPr>
                <w:rFonts w:ascii="Arial" w:hAnsi="Arial" w:cs="Arial"/>
                <w:sz w:val="20"/>
                <w:szCs w:val="20"/>
              </w:rPr>
              <w:t>258,189,396</w:t>
            </w:r>
          </w:p>
        </w:tc>
      </w:tr>
    </w:tbl>
    <w:p w:rsidR="00956538" w:rsidRDefault="00956538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 xml:space="preserve">Article 6: Approve the </w:t>
      </w:r>
      <w:r>
        <w:rPr>
          <w:rFonts w:ascii="Arial" w:hAnsi="Arial" w:cs="Arial"/>
          <w:sz w:val="20"/>
          <w:szCs w:val="20"/>
        </w:rPr>
        <w:t>statement on</w:t>
      </w:r>
      <w:r w:rsidRPr="00751972">
        <w:rPr>
          <w:rFonts w:ascii="Arial" w:hAnsi="Arial" w:cs="Arial"/>
          <w:sz w:val="20"/>
          <w:szCs w:val="20"/>
        </w:rPr>
        <w:t xml:space="preserve"> select</w:t>
      </w:r>
      <w:r>
        <w:rPr>
          <w:rFonts w:ascii="Arial" w:hAnsi="Arial" w:cs="Arial"/>
          <w:sz w:val="20"/>
          <w:szCs w:val="20"/>
        </w:rPr>
        <w:t>ing an</w:t>
      </w:r>
      <w:r w:rsidRPr="00751972">
        <w:rPr>
          <w:rFonts w:ascii="Arial" w:hAnsi="Arial" w:cs="Arial"/>
          <w:sz w:val="20"/>
          <w:szCs w:val="20"/>
        </w:rPr>
        <w:t xml:space="preserve"> Auditing Company in 2020 </w:t>
      </w:r>
      <w:r>
        <w:rPr>
          <w:rFonts w:ascii="Arial" w:hAnsi="Arial" w:cs="Arial"/>
          <w:sz w:val="20"/>
          <w:szCs w:val="20"/>
        </w:rPr>
        <w:t>among</w:t>
      </w:r>
      <w:r w:rsidRPr="00751972">
        <w:rPr>
          <w:rFonts w:ascii="Arial" w:hAnsi="Arial" w:cs="Arial"/>
          <w:sz w:val="20"/>
          <w:szCs w:val="20"/>
        </w:rPr>
        <w:t xml:space="preserve"> the following </w:t>
      </w:r>
      <w:r>
        <w:rPr>
          <w:rFonts w:ascii="Arial" w:hAnsi="Arial" w:cs="Arial"/>
          <w:sz w:val="20"/>
          <w:szCs w:val="20"/>
        </w:rPr>
        <w:t xml:space="preserve">companies: 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 xml:space="preserve">1. AACS Auditing </w:t>
      </w:r>
      <w:r>
        <w:rPr>
          <w:rFonts w:ascii="Arial" w:hAnsi="Arial" w:cs="Arial"/>
          <w:sz w:val="20"/>
          <w:szCs w:val="20"/>
        </w:rPr>
        <w:t>Firm Company Limited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>2. A</w:t>
      </w:r>
      <w:r>
        <w:rPr>
          <w:rFonts w:ascii="Arial" w:hAnsi="Arial" w:cs="Arial"/>
          <w:sz w:val="20"/>
          <w:szCs w:val="20"/>
        </w:rPr>
        <w:t>uditing and Consulting Co., Ltd (A&amp;C)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>3. KPM</w:t>
      </w:r>
      <w:r>
        <w:rPr>
          <w:rFonts w:ascii="Arial" w:hAnsi="Arial" w:cs="Arial"/>
          <w:sz w:val="20"/>
          <w:szCs w:val="20"/>
        </w:rPr>
        <w:t>G Vietnam Company Limited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>4. Southern Auditing and Accounting Financial</w:t>
      </w:r>
      <w:r>
        <w:rPr>
          <w:rFonts w:ascii="Arial" w:hAnsi="Arial" w:cs="Arial"/>
          <w:sz w:val="20"/>
          <w:szCs w:val="20"/>
        </w:rPr>
        <w:t xml:space="preserve"> Consulting Services Co., Ltd (AASCS)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 the statement</w:t>
      </w:r>
      <w:r w:rsidRPr="00751972">
        <w:rPr>
          <w:rFonts w:ascii="Arial" w:hAnsi="Arial" w:cs="Arial"/>
          <w:sz w:val="20"/>
          <w:szCs w:val="20"/>
        </w:rPr>
        <w:t xml:space="preserve"> on changing the organizational structure </w:t>
      </w:r>
      <w:r>
        <w:rPr>
          <w:rFonts w:ascii="Arial" w:hAnsi="Arial" w:cs="Arial"/>
          <w:sz w:val="20"/>
          <w:szCs w:val="20"/>
        </w:rPr>
        <w:t>of the Company in the model of having a</w:t>
      </w:r>
      <w:r w:rsidRPr="00751972">
        <w:rPr>
          <w:rFonts w:ascii="Arial" w:hAnsi="Arial" w:cs="Arial"/>
          <w:sz w:val="20"/>
          <w:szCs w:val="20"/>
        </w:rPr>
        <w:t xml:space="preserve"> Supervisory Board, specifically: 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 xml:space="preserve">Changing the management and operation organization in accordance with the model specified in Article 134 of the </w:t>
      </w:r>
      <w:r>
        <w:rPr>
          <w:rFonts w:ascii="Arial" w:hAnsi="Arial" w:cs="Arial"/>
          <w:sz w:val="20"/>
          <w:szCs w:val="20"/>
        </w:rPr>
        <w:t>Enterprise</w:t>
      </w:r>
      <w:r w:rsidRPr="00751972">
        <w:rPr>
          <w:rFonts w:ascii="Arial" w:hAnsi="Arial" w:cs="Arial"/>
          <w:sz w:val="20"/>
          <w:szCs w:val="20"/>
        </w:rPr>
        <w:t xml:space="preserve"> Law 2014, including: General Meeting of Shareholders, Board of Directors, </w:t>
      </w:r>
      <w:r>
        <w:rPr>
          <w:rFonts w:ascii="Arial" w:hAnsi="Arial" w:cs="Arial"/>
          <w:sz w:val="20"/>
          <w:szCs w:val="20"/>
        </w:rPr>
        <w:t>Supervisor Board and General Director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>Article 8: Approve</w:t>
      </w:r>
      <w:r>
        <w:rPr>
          <w:rFonts w:ascii="Arial" w:hAnsi="Arial" w:cs="Arial"/>
          <w:sz w:val="20"/>
          <w:szCs w:val="20"/>
        </w:rPr>
        <w:t xml:space="preserve"> the statement on amendment and supplement to</w:t>
      </w:r>
      <w:r w:rsidRPr="00751972">
        <w:rPr>
          <w:rFonts w:ascii="Arial" w:hAnsi="Arial" w:cs="Arial"/>
          <w:sz w:val="20"/>
          <w:szCs w:val="20"/>
        </w:rPr>
        <w:t xml:space="preserve"> the Charter of the Company to suit the actual operational situation </w:t>
      </w:r>
      <w:r>
        <w:rPr>
          <w:rFonts w:ascii="Arial" w:hAnsi="Arial" w:cs="Arial"/>
          <w:sz w:val="20"/>
          <w:szCs w:val="20"/>
        </w:rPr>
        <w:t>and new operating model of the C</w:t>
      </w:r>
      <w:r w:rsidRPr="00751972">
        <w:rPr>
          <w:rFonts w:ascii="Arial" w:hAnsi="Arial" w:cs="Arial"/>
          <w:sz w:val="20"/>
          <w:szCs w:val="20"/>
        </w:rPr>
        <w:t>ompany, including: General Meeting of Sh</w:t>
      </w:r>
      <w:r>
        <w:rPr>
          <w:rFonts w:ascii="Arial" w:hAnsi="Arial" w:cs="Arial"/>
          <w:sz w:val="20"/>
          <w:szCs w:val="20"/>
        </w:rPr>
        <w:t>areholders, Board of Directors</w:t>
      </w:r>
      <w:r w:rsidRPr="00751972">
        <w:rPr>
          <w:rFonts w:ascii="Arial" w:hAnsi="Arial" w:cs="Arial"/>
          <w:sz w:val="20"/>
          <w:szCs w:val="20"/>
        </w:rPr>
        <w:t xml:space="preserve">, Supervisory Board and General Director. At the same time, it is suitable to relevant laws 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 xml:space="preserve">Article 9: Approving the </w:t>
      </w:r>
      <w:r>
        <w:rPr>
          <w:rFonts w:ascii="Arial" w:hAnsi="Arial" w:cs="Arial"/>
          <w:sz w:val="20"/>
          <w:szCs w:val="20"/>
        </w:rPr>
        <w:t xml:space="preserve">statement on </w:t>
      </w:r>
      <w:r w:rsidRPr="00751972">
        <w:rPr>
          <w:rFonts w:ascii="Arial" w:hAnsi="Arial" w:cs="Arial"/>
          <w:sz w:val="20"/>
          <w:szCs w:val="20"/>
        </w:rPr>
        <w:t>offer</w:t>
      </w:r>
      <w:r>
        <w:rPr>
          <w:rFonts w:ascii="Arial" w:hAnsi="Arial" w:cs="Arial"/>
          <w:sz w:val="20"/>
          <w:szCs w:val="20"/>
        </w:rPr>
        <w:t>ing</w:t>
      </w:r>
      <w:r w:rsidRPr="00751972">
        <w:rPr>
          <w:rFonts w:ascii="Arial" w:hAnsi="Arial" w:cs="Arial"/>
          <w:sz w:val="20"/>
          <w:szCs w:val="20"/>
        </w:rPr>
        <w:t xml:space="preserve"> ACSC treasury shares </w:t>
      </w:r>
      <w:r>
        <w:rPr>
          <w:rFonts w:ascii="Arial" w:hAnsi="Arial" w:cs="Arial"/>
          <w:sz w:val="20"/>
          <w:szCs w:val="20"/>
        </w:rPr>
        <w:t>under private placement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Type of share</w:t>
      </w:r>
      <w:r w:rsidRPr="00751972">
        <w:rPr>
          <w:rFonts w:ascii="Arial" w:hAnsi="Arial" w:cs="Arial"/>
          <w:sz w:val="20"/>
          <w:szCs w:val="20"/>
        </w:rPr>
        <w:t>: ACSC tre</w:t>
      </w:r>
      <w:r>
        <w:rPr>
          <w:rFonts w:ascii="Arial" w:hAnsi="Arial" w:cs="Arial"/>
          <w:sz w:val="20"/>
          <w:szCs w:val="20"/>
        </w:rPr>
        <w:t>asury share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 xml:space="preserve">2. Offering method: </w:t>
      </w:r>
      <w:r>
        <w:rPr>
          <w:rFonts w:ascii="Arial" w:hAnsi="Arial" w:cs="Arial"/>
          <w:sz w:val="20"/>
          <w:szCs w:val="20"/>
        </w:rPr>
        <w:t>private placement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Restriction of</w:t>
      </w:r>
      <w:r w:rsidRPr="007519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transfer: </w:t>
      </w:r>
      <w:r w:rsidRPr="00751972">
        <w:rPr>
          <w:rFonts w:ascii="Arial" w:hAnsi="Arial" w:cs="Arial"/>
          <w:sz w:val="20"/>
          <w:szCs w:val="20"/>
        </w:rPr>
        <w:t xml:space="preserve">restricted </w:t>
      </w:r>
      <w:r>
        <w:rPr>
          <w:rFonts w:ascii="Arial" w:hAnsi="Arial" w:cs="Arial"/>
          <w:sz w:val="20"/>
          <w:szCs w:val="20"/>
        </w:rPr>
        <w:t xml:space="preserve">to transfer for at least one </w:t>
      </w:r>
      <w:r w:rsidRPr="00751972">
        <w:rPr>
          <w:rFonts w:ascii="Arial" w:hAnsi="Arial" w:cs="Arial"/>
          <w:sz w:val="20"/>
          <w:szCs w:val="20"/>
        </w:rPr>
        <w:t xml:space="preserve">year from the </w:t>
      </w:r>
      <w:r>
        <w:rPr>
          <w:rFonts w:ascii="Arial" w:hAnsi="Arial" w:cs="Arial"/>
          <w:sz w:val="20"/>
          <w:szCs w:val="20"/>
        </w:rPr>
        <w:t xml:space="preserve">end </w:t>
      </w:r>
      <w:r w:rsidRPr="00751972">
        <w:rPr>
          <w:rFonts w:ascii="Arial" w:hAnsi="Arial" w:cs="Arial"/>
          <w:sz w:val="20"/>
          <w:szCs w:val="20"/>
        </w:rPr>
        <w:t xml:space="preserve">date of </w:t>
      </w:r>
      <w:r>
        <w:rPr>
          <w:rFonts w:ascii="Arial" w:hAnsi="Arial" w:cs="Arial"/>
          <w:sz w:val="20"/>
          <w:szCs w:val="20"/>
        </w:rPr>
        <w:t>the offering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 xml:space="preserve">4. Expected offering price: Assign </w:t>
      </w:r>
      <w:r>
        <w:rPr>
          <w:rFonts w:ascii="Arial" w:hAnsi="Arial" w:cs="Arial"/>
          <w:sz w:val="20"/>
          <w:szCs w:val="20"/>
        </w:rPr>
        <w:t xml:space="preserve">the </w:t>
      </w:r>
      <w:r w:rsidRPr="00751972">
        <w:rPr>
          <w:rFonts w:ascii="Arial" w:hAnsi="Arial" w:cs="Arial"/>
          <w:sz w:val="20"/>
          <w:szCs w:val="20"/>
        </w:rPr>
        <w:t xml:space="preserve">Board of Directors to decide selling price at each time of implementing </w:t>
      </w:r>
      <w:r>
        <w:rPr>
          <w:rFonts w:ascii="Arial" w:hAnsi="Arial" w:cs="Arial"/>
          <w:sz w:val="20"/>
          <w:szCs w:val="20"/>
        </w:rPr>
        <w:t>the offering</w:t>
      </w:r>
      <w:r w:rsidRPr="00751972">
        <w:rPr>
          <w:rFonts w:ascii="Arial" w:hAnsi="Arial" w:cs="Arial"/>
          <w:sz w:val="20"/>
          <w:szCs w:val="20"/>
        </w:rPr>
        <w:t xml:space="preserve"> procedure</w:t>
      </w:r>
      <w:r>
        <w:rPr>
          <w:rFonts w:ascii="Arial" w:hAnsi="Arial" w:cs="Arial"/>
          <w:sz w:val="20"/>
          <w:szCs w:val="20"/>
        </w:rPr>
        <w:t>s</w:t>
      </w:r>
      <w:r w:rsidRPr="00751972">
        <w:rPr>
          <w:rFonts w:ascii="Arial" w:hAnsi="Arial" w:cs="Arial"/>
          <w:sz w:val="20"/>
          <w:szCs w:val="20"/>
        </w:rPr>
        <w:t>, but no</w:t>
      </w:r>
      <w:r>
        <w:rPr>
          <w:rFonts w:ascii="Arial" w:hAnsi="Arial" w:cs="Arial"/>
          <w:sz w:val="20"/>
          <w:szCs w:val="20"/>
        </w:rPr>
        <w:t>t lower than par value of share (VND 10,000/ share)</w:t>
      </w:r>
    </w:p>
    <w:p w:rsidR="00125D2A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>5. Number of shares regi</w:t>
      </w:r>
      <w:r w:rsidR="00125D2A">
        <w:rPr>
          <w:rFonts w:ascii="Arial" w:hAnsi="Arial" w:cs="Arial"/>
          <w:sz w:val="20"/>
          <w:szCs w:val="20"/>
        </w:rPr>
        <w:t>stered to offer: 278,830 shares</w:t>
      </w:r>
    </w:p>
    <w:p w:rsidR="00125D2A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>6. Offering time: Expected in fiscal year</w:t>
      </w:r>
      <w:r w:rsidR="00125D2A">
        <w:rPr>
          <w:rFonts w:ascii="Arial" w:hAnsi="Arial" w:cs="Arial"/>
          <w:sz w:val="20"/>
          <w:szCs w:val="20"/>
        </w:rPr>
        <w:t xml:space="preserve"> of 2020</w:t>
      </w:r>
    </w:p>
    <w:p w:rsidR="00125D2A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t xml:space="preserve">In case </w:t>
      </w:r>
      <w:r w:rsidR="00125D2A">
        <w:rPr>
          <w:rFonts w:ascii="Arial" w:hAnsi="Arial" w:cs="Arial"/>
          <w:sz w:val="20"/>
          <w:szCs w:val="20"/>
        </w:rPr>
        <w:t xml:space="preserve">the </w:t>
      </w:r>
      <w:r w:rsidRPr="00751972">
        <w:rPr>
          <w:rFonts w:ascii="Arial" w:hAnsi="Arial" w:cs="Arial"/>
          <w:sz w:val="20"/>
          <w:szCs w:val="20"/>
        </w:rPr>
        <w:t>fiscal year 2020 has not completed procedures</w:t>
      </w:r>
      <w:r w:rsidR="00125D2A">
        <w:rPr>
          <w:rFonts w:ascii="Arial" w:hAnsi="Arial" w:cs="Arial"/>
          <w:sz w:val="20"/>
          <w:szCs w:val="20"/>
        </w:rPr>
        <w:t xml:space="preserve"> for private placement</w:t>
      </w:r>
      <w:r w:rsidRPr="00751972">
        <w:rPr>
          <w:rFonts w:ascii="Arial" w:hAnsi="Arial" w:cs="Arial"/>
          <w:sz w:val="20"/>
          <w:szCs w:val="20"/>
        </w:rPr>
        <w:t xml:space="preserve">, it will continue to be implemented in 2021 but </w:t>
      </w:r>
      <w:r w:rsidR="00125D2A">
        <w:rPr>
          <w:rFonts w:ascii="Arial" w:hAnsi="Arial" w:cs="Arial"/>
          <w:sz w:val="20"/>
          <w:szCs w:val="20"/>
        </w:rPr>
        <w:t>it must be completed</w:t>
      </w:r>
      <w:r w:rsidRPr="00751972">
        <w:rPr>
          <w:rFonts w:ascii="Arial" w:hAnsi="Arial" w:cs="Arial"/>
          <w:sz w:val="20"/>
          <w:szCs w:val="20"/>
        </w:rPr>
        <w:t xml:space="preserve"> before the 2021 </w:t>
      </w:r>
      <w:r w:rsidR="00125D2A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751972" w:rsidRDefault="0075197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972">
        <w:rPr>
          <w:rFonts w:ascii="Arial" w:hAnsi="Arial" w:cs="Arial"/>
          <w:sz w:val="20"/>
          <w:szCs w:val="20"/>
        </w:rPr>
        <w:lastRenderedPageBreak/>
        <w:t xml:space="preserve">7. Estimated total </w:t>
      </w:r>
      <w:r w:rsidR="00125D2A">
        <w:rPr>
          <w:rFonts w:ascii="Arial" w:hAnsi="Arial" w:cs="Arial"/>
          <w:sz w:val="20"/>
          <w:szCs w:val="20"/>
        </w:rPr>
        <w:t>proceeds</w:t>
      </w:r>
      <w:r w:rsidRPr="00751972">
        <w:rPr>
          <w:rFonts w:ascii="Arial" w:hAnsi="Arial" w:cs="Arial"/>
          <w:sz w:val="20"/>
          <w:szCs w:val="20"/>
        </w:rPr>
        <w:t>: Depending on real selling price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 xml:space="preserve">8. Plan for using, schedule of using the proceeds from the offering: 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125D2A">
        <w:rPr>
          <w:rFonts w:ascii="Arial" w:hAnsi="Arial" w:cs="Arial"/>
          <w:sz w:val="20"/>
          <w:szCs w:val="20"/>
        </w:rPr>
        <w:t xml:space="preserve">Plan on using </w:t>
      </w:r>
      <w:r>
        <w:rPr>
          <w:rFonts w:ascii="Arial" w:hAnsi="Arial" w:cs="Arial"/>
          <w:sz w:val="20"/>
          <w:szCs w:val="20"/>
        </w:rPr>
        <w:t>the proceeds</w:t>
      </w:r>
      <w:r w:rsidRPr="00125D2A">
        <w:rPr>
          <w:rFonts w:ascii="Arial" w:hAnsi="Arial" w:cs="Arial"/>
          <w:sz w:val="20"/>
          <w:szCs w:val="20"/>
        </w:rPr>
        <w:t>: S</w:t>
      </w:r>
      <w:r>
        <w:rPr>
          <w:rFonts w:ascii="Arial" w:hAnsi="Arial" w:cs="Arial"/>
          <w:sz w:val="20"/>
          <w:szCs w:val="20"/>
        </w:rPr>
        <w:t>upplementing capital sources to the</w:t>
      </w:r>
      <w:r w:rsidRPr="00125D2A">
        <w:rPr>
          <w:rFonts w:ascii="Arial" w:hAnsi="Arial" w:cs="Arial"/>
          <w:sz w:val="20"/>
          <w:szCs w:val="20"/>
        </w:rPr>
        <w:t xml:space="preserve"> production and business activities of the Company and raising the fin</w:t>
      </w:r>
      <w:r>
        <w:rPr>
          <w:rFonts w:ascii="Arial" w:hAnsi="Arial" w:cs="Arial"/>
          <w:sz w:val="20"/>
          <w:szCs w:val="20"/>
        </w:rPr>
        <w:t>ancial capacity of the Company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125D2A">
        <w:rPr>
          <w:rFonts w:ascii="Arial" w:hAnsi="Arial" w:cs="Arial"/>
          <w:sz w:val="20"/>
          <w:szCs w:val="20"/>
        </w:rPr>
        <w:t xml:space="preserve"> The schedule of using </w:t>
      </w:r>
      <w:r>
        <w:rPr>
          <w:rFonts w:ascii="Arial" w:hAnsi="Arial" w:cs="Arial"/>
          <w:sz w:val="20"/>
          <w:szCs w:val="20"/>
        </w:rPr>
        <w:t>the proceeds</w:t>
      </w:r>
      <w:r w:rsidRPr="00125D2A">
        <w:rPr>
          <w:rFonts w:ascii="Arial" w:hAnsi="Arial" w:cs="Arial"/>
          <w:sz w:val="20"/>
          <w:szCs w:val="20"/>
        </w:rPr>
        <w:t xml:space="preserve"> from the offering: Acc</w:t>
      </w:r>
      <w:r>
        <w:rPr>
          <w:rFonts w:ascii="Arial" w:hAnsi="Arial" w:cs="Arial"/>
          <w:sz w:val="20"/>
          <w:szCs w:val="20"/>
        </w:rPr>
        <w:t>ording to actual arising demand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>Eligible buyer</w:t>
      </w:r>
      <w:r w:rsidRPr="00125D2A">
        <w:rPr>
          <w:rFonts w:ascii="Arial" w:hAnsi="Arial" w:cs="Arial"/>
          <w:sz w:val="20"/>
          <w:szCs w:val="20"/>
        </w:rPr>
        <w:t xml:space="preserve">: Individual 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 xml:space="preserve">Mr. Nguyen </w:t>
      </w:r>
      <w:proofErr w:type="spellStart"/>
      <w:r w:rsidRPr="00125D2A">
        <w:rPr>
          <w:rFonts w:ascii="Arial" w:hAnsi="Arial" w:cs="Arial"/>
          <w:sz w:val="20"/>
          <w:szCs w:val="20"/>
        </w:rPr>
        <w:t>Quang</w:t>
      </w:r>
      <w:proofErr w:type="spellEnd"/>
      <w:r w:rsidRPr="00125D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2A">
        <w:rPr>
          <w:rFonts w:ascii="Arial" w:hAnsi="Arial" w:cs="Arial"/>
          <w:sz w:val="20"/>
          <w:szCs w:val="20"/>
        </w:rPr>
        <w:t>Khanh</w:t>
      </w:r>
      <w:proofErr w:type="spellEnd"/>
      <w:r w:rsidRPr="00125D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Pr="00125D2A">
        <w:rPr>
          <w:rFonts w:ascii="Arial" w:hAnsi="Arial" w:cs="Arial"/>
          <w:sz w:val="20"/>
          <w:szCs w:val="20"/>
        </w:rPr>
        <w:t xml:space="preserve"> of birth: 1966 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 xml:space="preserve">ID card number: 021704776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5D2A">
        <w:rPr>
          <w:rFonts w:ascii="Arial" w:hAnsi="Arial" w:cs="Arial"/>
          <w:sz w:val="20"/>
          <w:szCs w:val="20"/>
        </w:rPr>
        <w:t xml:space="preserve">Date of issue: July 21, 2009 </w:t>
      </w:r>
      <w:r>
        <w:rPr>
          <w:rFonts w:ascii="Arial" w:hAnsi="Arial" w:cs="Arial"/>
          <w:sz w:val="20"/>
          <w:szCs w:val="20"/>
        </w:rPr>
        <w:tab/>
      </w:r>
      <w:r w:rsidRPr="00125D2A">
        <w:rPr>
          <w:rFonts w:ascii="Arial" w:hAnsi="Arial" w:cs="Arial"/>
          <w:sz w:val="20"/>
          <w:szCs w:val="20"/>
        </w:rPr>
        <w:t xml:space="preserve">Place of issue: </w:t>
      </w:r>
      <w:r>
        <w:rPr>
          <w:rFonts w:ascii="Arial" w:hAnsi="Arial" w:cs="Arial"/>
          <w:sz w:val="20"/>
          <w:szCs w:val="20"/>
        </w:rPr>
        <w:t>Ho Chi Minh Public Security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>The Board of Directors is author</w:t>
      </w:r>
      <w:r>
        <w:rPr>
          <w:rFonts w:ascii="Arial" w:hAnsi="Arial" w:cs="Arial"/>
          <w:sz w:val="20"/>
          <w:szCs w:val="20"/>
        </w:rPr>
        <w:t>ized to decide the selection of Securities Company</w:t>
      </w:r>
      <w:r w:rsidRPr="00125D2A">
        <w:rPr>
          <w:rFonts w:ascii="Arial" w:hAnsi="Arial" w:cs="Arial"/>
          <w:sz w:val="20"/>
          <w:szCs w:val="20"/>
        </w:rPr>
        <w:t xml:space="preserve"> acting as an agent for transactions of selling treasury </w:t>
      </w:r>
      <w:r>
        <w:rPr>
          <w:rFonts w:ascii="Arial" w:hAnsi="Arial" w:cs="Arial"/>
          <w:sz w:val="20"/>
          <w:szCs w:val="20"/>
        </w:rPr>
        <w:t>shares, decide</w:t>
      </w:r>
      <w:r w:rsidRPr="00125D2A">
        <w:rPr>
          <w:rFonts w:ascii="Arial" w:hAnsi="Arial" w:cs="Arial"/>
          <w:sz w:val="20"/>
          <w:szCs w:val="20"/>
        </w:rPr>
        <w:t xml:space="preserve"> the offering price, specific selling time in price bracket and selling time approved by the </w:t>
      </w:r>
      <w:r>
        <w:rPr>
          <w:rFonts w:ascii="Arial" w:hAnsi="Arial" w:cs="Arial"/>
          <w:sz w:val="20"/>
          <w:szCs w:val="20"/>
        </w:rPr>
        <w:t>annual General Meeting of Shareholders;</w:t>
      </w:r>
      <w:r w:rsidRPr="00125D2A">
        <w:rPr>
          <w:rFonts w:ascii="Arial" w:hAnsi="Arial" w:cs="Arial"/>
          <w:sz w:val="20"/>
          <w:szCs w:val="20"/>
        </w:rPr>
        <w:t xml:space="preserve"> At the same time, directing the implementation of treasury </w:t>
      </w:r>
      <w:r>
        <w:rPr>
          <w:rFonts w:ascii="Arial" w:hAnsi="Arial" w:cs="Arial"/>
          <w:sz w:val="20"/>
          <w:szCs w:val="20"/>
        </w:rPr>
        <w:t>shares</w:t>
      </w:r>
      <w:r w:rsidRPr="00125D2A">
        <w:rPr>
          <w:rFonts w:ascii="Arial" w:hAnsi="Arial" w:cs="Arial"/>
          <w:sz w:val="20"/>
          <w:szCs w:val="20"/>
        </w:rPr>
        <w:t xml:space="preserve"> in the form of </w:t>
      </w:r>
      <w:r>
        <w:rPr>
          <w:rFonts w:ascii="Arial" w:hAnsi="Arial" w:cs="Arial"/>
          <w:sz w:val="20"/>
          <w:szCs w:val="20"/>
        </w:rPr>
        <w:t>private placement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>In case, according to the law, it is impossible to conduct</w:t>
      </w:r>
      <w:r>
        <w:rPr>
          <w:rFonts w:ascii="Arial" w:hAnsi="Arial" w:cs="Arial"/>
          <w:sz w:val="20"/>
          <w:szCs w:val="20"/>
        </w:rPr>
        <w:t xml:space="preserve"> the offering of treasury shares</w:t>
      </w:r>
      <w:r w:rsidRPr="00125D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through private placement</w:t>
      </w:r>
      <w:r w:rsidRPr="00125D2A">
        <w:rPr>
          <w:rFonts w:ascii="Arial" w:hAnsi="Arial" w:cs="Arial"/>
          <w:sz w:val="20"/>
          <w:szCs w:val="20"/>
        </w:rPr>
        <w:t>, the Board of Directors is entitled to decide th</w:t>
      </w:r>
      <w:r>
        <w:rPr>
          <w:rFonts w:ascii="Arial" w:hAnsi="Arial" w:cs="Arial"/>
          <w:sz w:val="20"/>
          <w:szCs w:val="20"/>
        </w:rPr>
        <w:t>e offering of treasury stocks in</w:t>
      </w:r>
      <w:r w:rsidRPr="00125D2A">
        <w:rPr>
          <w:rFonts w:ascii="Arial" w:hAnsi="Arial" w:cs="Arial"/>
          <w:sz w:val="20"/>
          <w:szCs w:val="20"/>
        </w:rPr>
        <w:t xml:space="preserve"> other fo</w:t>
      </w:r>
      <w:r>
        <w:rPr>
          <w:rFonts w:ascii="Arial" w:hAnsi="Arial" w:cs="Arial"/>
          <w:sz w:val="20"/>
          <w:szCs w:val="20"/>
        </w:rPr>
        <w:t>rms in accordance with the law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 xml:space="preserve">Article 10: </w:t>
      </w:r>
      <w:r>
        <w:rPr>
          <w:rFonts w:ascii="Arial" w:hAnsi="Arial" w:cs="Arial"/>
          <w:sz w:val="20"/>
          <w:szCs w:val="20"/>
        </w:rPr>
        <w:t>Approve the statement on authorizing</w:t>
      </w:r>
      <w:r w:rsidRPr="00125D2A">
        <w:rPr>
          <w:rFonts w:ascii="Arial" w:hAnsi="Arial" w:cs="Arial"/>
          <w:sz w:val="20"/>
          <w:szCs w:val="20"/>
        </w:rPr>
        <w:t xml:space="preserve"> the Board of Directors </w:t>
      </w:r>
      <w:r>
        <w:rPr>
          <w:rFonts w:ascii="Arial" w:hAnsi="Arial" w:cs="Arial"/>
          <w:sz w:val="20"/>
          <w:szCs w:val="20"/>
        </w:rPr>
        <w:t xml:space="preserve">actively to </w:t>
      </w:r>
      <w:r w:rsidRPr="00125D2A">
        <w:rPr>
          <w:rFonts w:ascii="Arial" w:hAnsi="Arial" w:cs="Arial"/>
          <w:sz w:val="20"/>
          <w:szCs w:val="20"/>
        </w:rPr>
        <w:t>decide matters related to investment, buying, selling, borrowing, lending and other contr</w:t>
      </w:r>
      <w:r>
        <w:rPr>
          <w:rFonts w:ascii="Arial" w:hAnsi="Arial" w:cs="Arial"/>
          <w:sz w:val="20"/>
          <w:szCs w:val="20"/>
        </w:rPr>
        <w:t>acts of equal or greater value of 35% of total asset value</w:t>
      </w:r>
      <w:r w:rsidRPr="00125D2A">
        <w:rPr>
          <w:rFonts w:ascii="Arial" w:hAnsi="Arial" w:cs="Arial"/>
          <w:sz w:val="20"/>
          <w:szCs w:val="20"/>
        </w:rPr>
        <w:t xml:space="preserve"> reco</w:t>
      </w:r>
      <w:r>
        <w:rPr>
          <w:rFonts w:ascii="Arial" w:hAnsi="Arial" w:cs="Arial"/>
          <w:sz w:val="20"/>
          <w:szCs w:val="20"/>
        </w:rPr>
        <w:t>rded in the financial statement of 2019</w:t>
      </w:r>
    </w:p>
    <w:p w:rsidR="00C1627C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 xml:space="preserve">Article 11: Adopting the </w:t>
      </w:r>
      <w:r w:rsidR="00C1627C">
        <w:rPr>
          <w:rFonts w:ascii="Arial" w:hAnsi="Arial" w:cs="Arial"/>
          <w:sz w:val="20"/>
          <w:szCs w:val="20"/>
        </w:rPr>
        <w:t>statement on</w:t>
      </w:r>
      <w:r w:rsidRPr="00125D2A">
        <w:rPr>
          <w:rFonts w:ascii="Arial" w:hAnsi="Arial" w:cs="Arial"/>
          <w:sz w:val="20"/>
          <w:szCs w:val="20"/>
        </w:rPr>
        <w:t xml:space="preserve"> authoriz</w:t>
      </w:r>
      <w:r w:rsidR="00C1627C">
        <w:rPr>
          <w:rFonts w:ascii="Arial" w:hAnsi="Arial" w:cs="Arial"/>
          <w:sz w:val="20"/>
          <w:szCs w:val="20"/>
        </w:rPr>
        <w:t>ing</w:t>
      </w:r>
      <w:r w:rsidRPr="00125D2A">
        <w:rPr>
          <w:rFonts w:ascii="Arial" w:hAnsi="Arial" w:cs="Arial"/>
          <w:sz w:val="20"/>
          <w:szCs w:val="20"/>
        </w:rPr>
        <w:t xml:space="preserve"> the Board of Directors to take initiative and decide the issues related to the organization, network, investment fields including finance, projects and measures to solve </w:t>
      </w:r>
      <w:r w:rsidR="00C1627C">
        <w:rPr>
          <w:rFonts w:ascii="Arial" w:hAnsi="Arial" w:cs="Arial"/>
          <w:sz w:val="20"/>
          <w:szCs w:val="20"/>
        </w:rPr>
        <w:t>issues</w:t>
      </w:r>
      <w:r w:rsidRPr="00125D2A">
        <w:rPr>
          <w:rFonts w:ascii="Arial" w:hAnsi="Arial" w:cs="Arial"/>
          <w:sz w:val="20"/>
          <w:szCs w:val="20"/>
        </w:rPr>
        <w:t xml:space="preserve">, other related issues under the authority of the General Meeting of Shareholders in 2020, except for issues under the authority of the General Meeting of </w:t>
      </w:r>
      <w:r w:rsidR="00C1627C">
        <w:rPr>
          <w:rFonts w:ascii="Arial" w:hAnsi="Arial" w:cs="Arial"/>
          <w:sz w:val="20"/>
          <w:szCs w:val="20"/>
        </w:rPr>
        <w:t>Shareholders as required by law (compulsory approval of</w:t>
      </w:r>
      <w:r w:rsidRPr="00125D2A">
        <w:rPr>
          <w:rFonts w:ascii="Arial" w:hAnsi="Arial" w:cs="Arial"/>
          <w:sz w:val="20"/>
          <w:szCs w:val="20"/>
        </w:rPr>
        <w:t xml:space="preserve"> the </w:t>
      </w:r>
      <w:r w:rsidR="00C1627C">
        <w:rPr>
          <w:rFonts w:ascii="Arial" w:hAnsi="Arial" w:cs="Arial"/>
          <w:sz w:val="20"/>
          <w:szCs w:val="20"/>
        </w:rPr>
        <w:t>General Meeting of Shareholders)</w:t>
      </w:r>
    </w:p>
    <w:p w:rsidR="00C1627C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 xml:space="preserve">Article 12: Approve the </w:t>
      </w:r>
      <w:r w:rsidR="00C1627C">
        <w:rPr>
          <w:rFonts w:ascii="Arial" w:hAnsi="Arial" w:cs="Arial"/>
          <w:sz w:val="20"/>
          <w:szCs w:val="20"/>
        </w:rPr>
        <w:t>statement</w:t>
      </w:r>
      <w:r w:rsidRPr="00125D2A">
        <w:rPr>
          <w:rFonts w:ascii="Arial" w:hAnsi="Arial" w:cs="Arial"/>
          <w:sz w:val="20"/>
          <w:szCs w:val="20"/>
        </w:rPr>
        <w:t xml:space="preserve"> on the number of </w:t>
      </w:r>
      <w:r w:rsidR="00C1627C">
        <w:rPr>
          <w:rFonts w:ascii="Arial" w:hAnsi="Arial" w:cs="Arial"/>
          <w:sz w:val="20"/>
          <w:szCs w:val="20"/>
        </w:rPr>
        <w:t>members</w:t>
      </w:r>
      <w:r w:rsidRPr="00125D2A">
        <w:rPr>
          <w:rFonts w:ascii="Arial" w:hAnsi="Arial" w:cs="Arial"/>
          <w:sz w:val="20"/>
          <w:szCs w:val="20"/>
        </w:rPr>
        <w:t xml:space="preserve"> of the Board of Directors, the </w:t>
      </w:r>
      <w:r w:rsidR="00C1627C">
        <w:rPr>
          <w:rFonts w:ascii="Arial" w:hAnsi="Arial" w:cs="Arial"/>
          <w:sz w:val="20"/>
          <w:szCs w:val="20"/>
        </w:rPr>
        <w:t>Supervisor Board</w:t>
      </w:r>
      <w:r w:rsidRPr="00125D2A">
        <w:rPr>
          <w:rFonts w:ascii="Arial" w:hAnsi="Arial" w:cs="Arial"/>
          <w:sz w:val="20"/>
          <w:szCs w:val="20"/>
        </w:rPr>
        <w:t xml:space="preserve"> for </w:t>
      </w:r>
      <w:r w:rsidR="00C1627C">
        <w:rPr>
          <w:rFonts w:ascii="Arial" w:hAnsi="Arial" w:cs="Arial"/>
          <w:sz w:val="20"/>
          <w:szCs w:val="20"/>
        </w:rPr>
        <w:t>the 2020-2025 term and introduction of list of candidates to the</w:t>
      </w:r>
      <w:r w:rsidRPr="00125D2A">
        <w:rPr>
          <w:rFonts w:ascii="Arial" w:hAnsi="Arial" w:cs="Arial"/>
          <w:sz w:val="20"/>
          <w:szCs w:val="20"/>
        </w:rPr>
        <w:t xml:space="preserve"> Board of Directors and the Supervisory Board for the 2020-2025 term, specifically: </w:t>
      </w:r>
    </w:p>
    <w:p w:rsidR="00C1627C" w:rsidRDefault="00C1627C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Regulation </w:t>
      </w:r>
      <w:r w:rsidR="00125D2A" w:rsidRPr="00125D2A">
        <w:rPr>
          <w:rFonts w:ascii="Arial" w:hAnsi="Arial" w:cs="Arial"/>
          <w:sz w:val="20"/>
          <w:szCs w:val="20"/>
        </w:rPr>
        <w:t xml:space="preserve">on candidacy, nomination and election of Members of the Board of Directors, Members of the Supervisory Board of </w:t>
      </w:r>
      <w:r w:rsidR="00615744" w:rsidRPr="004A718C">
        <w:rPr>
          <w:rFonts w:ascii="Arial" w:hAnsi="Arial" w:cs="Arial"/>
          <w:sz w:val="20"/>
          <w:szCs w:val="20"/>
        </w:rPr>
        <w:t>Architects &amp; Construction Service Corporation</w:t>
      </w:r>
      <w:r w:rsidR="00615744">
        <w:rPr>
          <w:rFonts w:ascii="Arial" w:hAnsi="Arial" w:cs="Arial"/>
          <w:sz w:val="20"/>
          <w:szCs w:val="20"/>
        </w:rPr>
        <w:t xml:space="preserve"> </w:t>
      </w:r>
      <w:r w:rsidR="00125D2A" w:rsidRPr="00125D2A">
        <w:rPr>
          <w:rFonts w:ascii="Arial" w:hAnsi="Arial" w:cs="Arial"/>
          <w:sz w:val="20"/>
          <w:szCs w:val="20"/>
        </w:rPr>
        <w:t xml:space="preserve">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125D2A" w:rsidRPr="00125D2A">
        <w:rPr>
          <w:rFonts w:ascii="Arial" w:hAnsi="Arial" w:cs="Arial"/>
          <w:sz w:val="20"/>
          <w:szCs w:val="20"/>
        </w:rPr>
        <w:t xml:space="preserve">2020 - 2025 </w:t>
      </w:r>
    </w:p>
    <w:p w:rsidR="00125D2A" w:rsidRDefault="00125D2A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D2A">
        <w:rPr>
          <w:rFonts w:ascii="Arial" w:hAnsi="Arial" w:cs="Arial"/>
          <w:sz w:val="20"/>
          <w:szCs w:val="20"/>
        </w:rPr>
        <w:t xml:space="preserve">2. Number of </w:t>
      </w:r>
      <w:r w:rsidR="00C1627C">
        <w:rPr>
          <w:rFonts w:ascii="Arial" w:hAnsi="Arial" w:cs="Arial"/>
          <w:sz w:val="20"/>
          <w:szCs w:val="20"/>
        </w:rPr>
        <w:t>members of the Board of Directors</w:t>
      </w:r>
      <w:r w:rsidRPr="00125D2A">
        <w:rPr>
          <w:rFonts w:ascii="Arial" w:hAnsi="Arial" w:cs="Arial"/>
          <w:sz w:val="20"/>
          <w:szCs w:val="20"/>
        </w:rPr>
        <w:t xml:space="preserve"> for the term </w:t>
      </w:r>
      <w:r w:rsidR="00C1627C">
        <w:rPr>
          <w:rFonts w:ascii="Arial" w:hAnsi="Arial" w:cs="Arial"/>
          <w:sz w:val="20"/>
          <w:szCs w:val="20"/>
        </w:rPr>
        <w:t>of 2020 - 2025: 05 members,</w:t>
      </w:r>
      <w:r w:rsidRPr="00125D2A">
        <w:rPr>
          <w:rFonts w:ascii="Arial" w:hAnsi="Arial" w:cs="Arial"/>
          <w:sz w:val="20"/>
          <w:szCs w:val="20"/>
        </w:rPr>
        <w:t xml:space="preserve"> including 01 independent m</w:t>
      </w:r>
      <w:r w:rsidR="00C1627C">
        <w:rPr>
          <w:rFonts w:ascii="Arial" w:hAnsi="Arial" w:cs="Arial"/>
          <w:sz w:val="20"/>
          <w:szCs w:val="20"/>
        </w:rPr>
        <w:t>ember of the Board of Directors</w:t>
      </w:r>
    </w:p>
    <w:p w:rsidR="00C1627C" w:rsidRDefault="00C1627C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27C">
        <w:rPr>
          <w:rFonts w:ascii="Arial" w:hAnsi="Arial" w:cs="Arial"/>
          <w:sz w:val="20"/>
          <w:szCs w:val="20"/>
        </w:rPr>
        <w:lastRenderedPageBreak/>
        <w:t xml:space="preserve">3. Number of members of the Supervisory Board for the term </w:t>
      </w:r>
      <w:r>
        <w:rPr>
          <w:rFonts w:ascii="Arial" w:hAnsi="Arial" w:cs="Arial"/>
          <w:sz w:val="20"/>
          <w:szCs w:val="20"/>
        </w:rPr>
        <w:t>of 2020 - 2025: 03 members</w:t>
      </w:r>
    </w:p>
    <w:p w:rsidR="00C1627C" w:rsidRDefault="00C1627C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27C">
        <w:rPr>
          <w:rFonts w:ascii="Arial" w:hAnsi="Arial" w:cs="Arial"/>
          <w:sz w:val="20"/>
          <w:szCs w:val="20"/>
        </w:rPr>
        <w:t>4. At the same time, the Gen</w:t>
      </w:r>
      <w:r>
        <w:rPr>
          <w:rFonts w:ascii="Arial" w:hAnsi="Arial" w:cs="Arial"/>
          <w:sz w:val="20"/>
          <w:szCs w:val="20"/>
        </w:rPr>
        <w:t>eral Meeting of Shareholders exercised the right of electing m</w:t>
      </w:r>
      <w:r w:rsidRPr="00C1627C">
        <w:rPr>
          <w:rFonts w:ascii="Arial" w:hAnsi="Arial" w:cs="Arial"/>
          <w:sz w:val="20"/>
          <w:szCs w:val="20"/>
        </w:rPr>
        <w:t>embers</w:t>
      </w:r>
      <w:r>
        <w:rPr>
          <w:rFonts w:ascii="Arial" w:hAnsi="Arial" w:cs="Arial"/>
          <w:sz w:val="20"/>
          <w:szCs w:val="20"/>
        </w:rPr>
        <w:t xml:space="preserve"> of the Board of Directors and m</w:t>
      </w:r>
      <w:r w:rsidRPr="00C1627C">
        <w:rPr>
          <w:rFonts w:ascii="Arial" w:hAnsi="Arial" w:cs="Arial"/>
          <w:sz w:val="20"/>
          <w:szCs w:val="20"/>
        </w:rPr>
        <w:t xml:space="preserve">embers of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C1627C">
        <w:rPr>
          <w:rFonts w:ascii="Arial" w:hAnsi="Arial" w:cs="Arial"/>
          <w:sz w:val="20"/>
          <w:szCs w:val="20"/>
        </w:rPr>
        <w:t>2020 - 2025 according to the votes d</w:t>
      </w:r>
      <w:r>
        <w:rPr>
          <w:rFonts w:ascii="Arial" w:hAnsi="Arial" w:cs="Arial"/>
          <w:sz w:val="20"/>
          <w:szCs w:val="20"/>
        </w:rPr>
        <w:t>istributed to the Shareholders</w:t>
      </w:r>
    </w:p>
    <w:p w:rsidR="00C1627C" w:rsidRDefault="00C1627C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27C">
        <w:rPr>
          <w:rFonts w:ascii="Arial" w:hAnsi="Arial" w:cs="Arial"/>
          <w:sz w:val="20"/>
          <w:szCs w:val="20"/>
        </w:rPr>
        <w:t xml:space="preserve">The results of </w:t>
      </w:r>
      <w:r>
        <w:rPr>
          <w:rFonts w:ascii="Arial" w:hAnsi="Arial" w:cs="Arial"/>
          <w:sz w:val="20"/>
          <w:szCs w:val="20"/>
        </w:rPr>
        <w:t>electing</w:t>
      </w:r>
      <w:r w:rsidRPr="00C1627C">
        <w:rPr>
          <w:rFonts w:ascii="Arial" w:hAnsi="Arial" w:cs="Arial"/>
          <w:sz w:val="20"/>
          <w:szCs w:val="20"/>
        </w:rPr>
        <w:t xml:space="preserve"> personnel of the Board of Directors, the Supervisory Board for the term </w:t>
      </w:r>
      <w:r>
        <w:rPr>
          <w:rFonts w:ascii="Arial" w:hAnsi="Arial" w:cs="Arial"/>
          <w:sz w:val="20"/>
          <w:szCs w:val="20"/>
        </w:rPr>
        <w:t>of 2020-2025</w:t>
      </w:r>
      <w:r w:rsidRPr="00C1627C">
        <w:rPr>
          <w:rFonts w:ascii="Arial" w:hAnsi="Arial" w:cs="Arial"/>
          <w:sz w:val="20"/>
          <w:szCs w:val="20"/>
        </w:rPr>
        <w:t xml:space="preserve"> as follows: </w:t>
      </w:r>
    </w:p>
    <w:p w:rsidR="00C1627C" w:rsidRDefault="00C1627C" w:rsidP="00125D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27C">
        <w:rPr>
          <w:rFonts w:ascii="Arial" w:hAnsi="Arial" w:cs="Arial"/>
          <w:sz w:val="20"/>
          <w:szCs w:val="20"/>
        </w:rPr>
        <w:t xml:space="preserve">1. Mr. Dang Le Dung </w:t>
      </w:r>
      <w:r>
        <w:rPr>
          <w:rFonts w:ascii="Arial" w:hAnsi="Arial" w:cs="Arial"/>
          <w:sz w:val="20"/>
          <w:szCs w:val="20"/>
        </w:rPr>
        <w:t xml:space="preserve">- member of the Board of Directors </w:t>
      </w:r>
    </w:p>
    <w:p w:rsidR="00C1627C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1627C">
        <w:rPr>
          <w:rFonts w:ascii="Arial" w:hAnsi="Arial" w:cs="Arial"/>
          <w:sz w:val="20"/>
          <w:szCs w:val="20"/>
        </w:rPr>
        <w:t xml:space="preserve">Mr. Le </w:t>
      </w:r>
      <w:proofErr w:type="spellStart"/>
      <w:r w:rsidRPr="00C1627C">
        <w:rPr>
          <w:rFonts w:ascii="Arial" w:hAnsi="Arial" w:cs="Arial"/>
          <w:sz w:val="20"/>
          <w:szCs w:val="20"/>
        </w:rPr>
        <w:t>Duc</w:t>
      </w:r>
      <w:proofErr w:type="spellEnd"/>
      <w:r w:rsidRPr="00C1627C">
        <w:rPr>
          <w:rFonts w:ascii="Arial" w:hAnsi="Arial" w:cs="Arial"/>
          <w:sz w:val="20"/>
          <w:szCs w:val="20"/>
        </w:rPr>
        <w:t xml:space="preserve"> Nguyen </w:t>
      </w:r>
      <w:r>
        <w:rPr>
          <w:rFonts w:ascii="Arial" w:hAnsi="Arial" w:cs="Arial"/>
          <w:sz w:val="20"/>
          <w:szCs w:val="20"/>
        </w:rPr>
        <w:t>- member of the Board of Directors</w:t>
      </w:r>
    </w:p>
    <w:p w:rsidR="00C1627C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C1627C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C1627C">
        <w:rPr>
          <w:rFonts w:ascii="Arial" w:hAnsi="Arial" w:cs="Arial"/>
          <w:sz w:val="20"/>
          <w:szCs w:val="20"/>
        </w:rPr>
        <w:t>Dinh</w:t>
      </w:r>
      <w:proofErr w:type="spellEnd"/>
      <w:r w:rsidRPr="00C1627C">
        <w:rPr>
          <w:rFonts w:ascii="Arial" w:hAnsi="Arial" w:cs="Arial"/>
          <w:sz w:val="20"/>
          <w:szCs w:val="20"/>
        </w:rPr>
        <w:t xml:space="preserve"> Viet Duy </w:t>
      </w:r>
      <w:r>
        <w:rPr>
          <w:rFonts w:ascii="Arial" w:hAnsi="Arial" w:cs="Arial"/>
          <w:sz w:val="20"/>
          <w:szCs w:val="20"/>
        </w:rPr>
        <w:t>- member of the Board of Directors</w:t>
      </w:r>
    </w:p>
    <w:p w:rsidR="00C1627C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1627C">
        <w:rPr>
          <w:rFonts w:ascii="Arial" w:hAnsi="Arial" w:cs="Arial"/>
          <w:sz w:val="20"/>
          <w:szCs w:val="20"/>
        </w:rPr>
        <w:t xml:space="preserve">Mr. Vo Thanh </w:t>
      </w:r>
      <w:proofErr w:type="spellStart"/>
      <w:r w:rsidRPr="00C1627C">
        <w:rPr>
          <w:rFonts w:ascii="Arial" w:hAnsi="Arial" w:cs="Arial"/>
          <w:sz w:val="20"/>
          <w:szCs w:val="20"/>
        </w:rPr>
        <w:t>Thuan</w:t>
      </w:r>
      <w:proofErr w:type="spellEnd"/>
      <w:r w:rsidRPr="00C162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member of the Board of Directors</w:t>
      </w:r>
    </w:p>
    <w:p w:rsidR="00C1627C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1627C">
        <w:rPr>
          <w:rFonts w:ascii="Arial" w:hAnsi="Arial" w:cs="Arial"/>
          <w:sz w:val="20"/>
          <w:szCs w:val="20"/>
        </w:rPr>
        <w:t xml:space="preserve">Mr. Dang Hong </w:t>
      </w:r>
      <w:proofErr w:type="spellStart"/>
      <w:r w:rsidRPr="00C1627C">
        <w:rPr>
          <w:rFonts w:ascii="Arial" w:hAnsi="Arial" w:cs="Arial"/>
          <w:sz w:val="20"/>
          <w:szCs w:val="20"/>
        </w:rPr>
        <w:t>Phuoc</w:t>
      </w:r>
      <w:proofErr w:type="spellEnd"/>
      <w:r w:rsidRPr="00C162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member of the Board of Directors</w:t>
      </w:r>
    </w:p>
    <w:p w:rsidR="00C1627C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27C">
        <w:rPr>
          <w:rFonts w:ascii="Arial" w:hAnsi="Arial" w:cs="Arial"/>
          <w:sz w:val="20"/>
          <w:szCs w:val="20"/>
        </w:rPr>
        <w:t xml:space="preserve">2. Member of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C1627C">
        <w:rPr>
          <w:rFonts w:ascii="Arial" w:hAnsi="Arial" w:cs="Arial"/>
          <w:sz w:val="20"/>
          <w:szCs w:val="20"/>
        </w:rPr>
        <w:t xml:space="preserve">2020 - 2025: </w:t>
      </w:r>
    </w:p>
    <w:p w:rsidR="00615744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1627C">
        <w:rPr>
          <w:rFonts w:ascii="Arial" w:hAnsi="Arial" w:cs="Arial"/>
          <w:sz w:val="20"/>
          <w:szCs w:val="20"/>
        </w:rPr>
        <w:t xml:space="preserve"> Mr. Huynh Minh </w:t>
      </w:r>
      <w:proofErr w:type="spellStart"/>
      <w:r w:rsidRPr="00C1627C">
        <w:rPr>
          <w:rFonts w:ascii="Arial" w:hAnsi="Arial" w:cs="Arial"/>
          <w:sz w:val="20"/>
          <w:szCs w:val="20"/>
        </w:rPr>
        <w:t>Phuc</w:t>
      </w:r>
      <w:proofErr w:type="spellEnd"/>
      <w:r w:rsidRPr="00C1627C">
        <w:rPr>
          <w:rFonts w:ascii="Arial" w:hAnsi="Arial" w:cs="Arial"/>
          <w:sz w:val="20"/>
          <w:szCs w:val="20"/>
        </w:rPr>
        <w:t xml:space="preserve"> </w:t>
      </w:r>
      <w:r w:rsidR="00615744">
        <w:rPr>
          <w:rFonts w:ascii="Arial" w:hAnsi="Arial" w:cs="Arial"/>
          <w:sz w:val="20"/>
          <w:szCs w:val="20"/>
        </w:rPr>
        <w:t xml:space="preserve">- </w:t>
      </w:r>
      <w:r w:rsidRPr="00C1627C">
        <w:rPr>
          <w:rFonts w:ascii="Arial" w:hAnsi="Arial" w:cs="Arial"/>
          <w:sz w:val="20"/>
          <w:szCs w:val="20"/>
        </w:rPr>
        <w:t xml:space="preserve">Member of the Supervisory Board </w:t>
      </w:r>
    </w:p>
    <w:p w:rsidR="00615744" w:rsidRDefault="00615744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627C" w:rsidRPr="00C1627C">
        <w:rPr>
          <w:rFonts w:ascii="Arial" w:hAnsi="Arial" w:cs="Arial"/>
          <w:sz w:val="20"/>
          <w:szCs w:val="20"/>
        </w:rPr>
        <w:t xml:space="preserve"> Ms. Le Thi </w:t>
      </w:r>
      <w:proofErr w:type="spellStart"/>
      <w:r w:rsidR="00C1627C" w:rsidRPr="00C1627C">
        <w:rPr>
          <w:rFonts w:ascii="Arial" w:hAnsi="Arial" w:cs="Arial"/>
          <w:sz w:val="20"/>
          <w:szCs w:val="20"/>
        </w:rPr>
        <w:t>Mong</w:t>
      </w:r>
      <w:proofErr w:type="spellEnd"/>
      <w:r w:rsidR="00C1627C" w:rsidRPr="00C162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627C" w:rsidRPr="00C1627C">
        <w:rPr>
          <w:rFonts w:ascii="Arial" w:hAnsi="Arial" w:cs="Arial"/>
          <w:sz w:val="20"/>
          <w:szCs w:val="20"/>
        </w:rPr>
        <w:t>Huyen</w:t>
      </w:r>
      <w:proofErr w:type="spellEnd"/>
      <w:r w:rsidR="00C1627C" w:rsidRPr="00C162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C1627C" w:rsidRPr="00C1627C">
        <w:rPr>
          <w:rFonts w:ascii="Arial" w:hAnsi="Arial" w:cs="Arial"/>
          <w:sz w:val="20"/>
          <w:szCs w:val="20"/>
        </w:rPr>
        <w:t xml:space="preserve">Member of the Supervisory Board </w:t>
      </w:r>
    </w:p>
    <w:p w:rsidR="00615744" w:rsidRDefault="00615744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627C" w:rsidRPr="00C1627C">
        <w:rPr>
          <w:rFonts w:ascii="Arial" w:hAnsi="Arial" w:cs="Arial"/>
          <w:sz w:val="20"/>
          <w:szCs w:val="20"/>
        </w:rPr>
        <w:t xml:space="preserve"> Ms. Truong Thi Thuy Hang </w:t>
      </w:r>
      <w:r>
        <w:rPr>
          <w:rFonts w:ascii="Arial" w:hAnsi="Arial" w:cs="Arial"/>
          <w:sz w:val="20"/>
          <w:szCs w:val="20"/>
        </w:rPr>
        <w:t xml:space="preserve">- </w:t>
      </w:r>
      <w:r w:rsidR="00C1627C" w:rsidRPr="00C1627C">
        <w:rPr>
          <w:rFonts w:ascii="Arial" w:hAnsi="Arial" w:cs="Arial"/>
          <w:sz w:val="20"/>
          <w:szCs w:val="20"/>
        </w:rPr>
        <w:t xml:space="preserve">Member of the Supervisory Board  </w:t>
      </w:r>
    </w:p>
    <w:p w:rsidR="00615744" w:rsidRDefault="00615744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C1627C" w:rsidRPr="00C1627C">
        <w:rPr>
          <w:rFonts w:ascii="Arial" w:hAnsi="Arial" w:cs="Arial"/>
          <w:sz w:val="20"/>
          <w:szCs w:val="20"/>
        </w:rPr>
        <w:t xml:space="preserve">13: Approve the </w:t>
      </w:r>
      <w:r>
        <w:rPr>
          <w:rFonts w:ascii="Arial" w:hAnsi="Arial" w:cs="Arial"/>
          <w:sz w:val="20"/>
          <w:szCs w:val="20"/>
        </w:rPr>
        <w:t xml:space="preserve">statement </w:t>
      </w:r>
      <w:r w:rsidR="00C1627C" w:rsidRPr="00C1627C">
        <w:rPr>
          <w:rFonts w:ascii="Arial" w:hAnsi="Arial" w:cs="Arial"/>
          <w:sz w:val="20"/>
          <w:szCs w:val="20"/>
        </w:rPr>
        <w:t xml:space="preserve">on </w:t>
      </w:r>
      <w:r w:rsidRPr="00C1627C">
        <w:rPr>
          <w:rFonts w:ascii="Arial" w:hAnsi="Arial" w:cs="Arial"/>
          <w:sz w:val="20"/>
          <w:szCs w:val="20"/>
        </w:rPr>
        <w:t xml:space="preserve">remuneration </w:t>
      </w:r>
      <w:r>
        <w:rPr>
          <w:rFonts w:ascii="Arial" w:hAnsi="Arial" w:cs="Arial"/>
          <w:sz w:val="20"/>
          <w:szCs w:val="20"/>
        </w:rPr>
        <w:t>for</w:t>
      </w:r>
      <w:r w:rsidRPr="00C1627C">
        <w:rPr>
          <w:rFonts w:ascii="Arial" w:hAnsi="Arial" w:cs="Arial"/>
          <w:sz w:val="20"/>
          <w:szCs w:val="20"/>
        </w:rPr>
        <w:t xml:space="preserve"> </w:t>
      </w:r>
      <w:r w:rsidR="00C1627C" w:rsidRPr="00C1627C">
        <w:rPr>
          <w:rFonts w:ascii="Arial" w:hAnsi="Arial" w:cs="Arial"/>
          <w:sz w:val="20"/>
          <w:szCs w:val="20"/>
        </w:rPr>
        <w:t xml:space="preserve">the Board of Directors </w:t>
      </w:r>
      <w:r>
        <w:rPr>
          <w:rFonts w:ascii="Arial" w:hAnsi="Arial" w:cs="Arial"/>
          <w:sz w:val="20"/>
          <w:szCs w:val="20"/>
        </w:rPr>
        <w:t>in</w:t>
      </w:r>
      <w:r w:rsidR="00C1627C" w:rsidRPr="00C1627C">
        <w:rPr>
          <w:rFonts w:ascii="Arial" w:hAnsi="Arial" w:cs="Arial"/>
          <w:sz w:val="20"/>
          <w:szCs w:val="20"/>
        </w:rPr>
        <w:t xml:space="preserve"> 2019 and the proposal of </w:t>
      </w:r>
      <w:r>
        <w:rPr>
          <w:rFonts w:ascii="Arial" w:hAnsi="Arial" w:cs="Arial"/>
          <w:sz w:val="20"/>
          <w:szCs w:val="20"/>
        </w:rPr>
        <w:t xml:space="preserve">remuneration for </w:t>
      </w:r>
      <w:r w:rsidR="00C1627C" w:rsidRPr="00C1627C">
        <w:rPr>
          <w:rFonts w:ascii="Arial" w:hAnsi="Arial" w:cs="Arial"/>
          <w:sz w:val="20"/>
          <w:szCs w:val="20"/>
        </w:rPr>
        <w:t>the Board of Directo</w:t>
      </w:r>
      <w:r>
        <w:rPr>
          <w:rFonts w:ascii="Arial" w:hAnsi="Arial" w:cs="Arial"/>
          <w:sz w:val="20"/>
          <w:szCs w:val="20"/>
        </w:rPr>
        <w:t>rs and the Supervisory Board</w:t>
      </w:r>
      <w:r w:rsidR="00C1627C" w:rsidRPr="00C1627C">
        <w:rPr>
          <w:rFonts w:ascii="Arial" w:hAnsi="Arial" w:cs="Arial"/>
          <w:sz w:val="20"/>
          <w:szCs w:val="20"/>
        </w:rPr>
        <w:t xml:space="preserve"> for the fiscal year 2020 of 0.3% of the to</w:t>
      </w:r>
      <w:r>
        <w:rPr>
          <w:rFonts w:ascii="Arial" w:hAnsi="Arial" w:cs="Arial"/>
          <w:sz w:val="20"/>
          <w:szCs w:val="20"/>
        </w:rPr>
        <w:t>tal revenue of the fiscal year of 2020</w:t>
      </w:r>
    </w:p>
    <w:p w:rsidR="00615744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27C">
        <w:rPr>
          <w:rFonts w:ascii="Arial" w:hAnsi="Arial" w:cs="Arial"/>
          <w:sz w:val="20"/>
          <w:szCs w:val="20"/>
        </w:rPr>
        <w:t>This budget includes: Remuneration of the Board of Directors, remuneration of the</w:t>
      </w:r>
      <w:r w:rsidR="00615744">
        <w:rPr>
          <w:rFonts w:ascii="Arial" w:hAnsi="Arial" w:cs="Arial"/>
          <w:sz w:val="20"/>
          <w:szCs w:val="20"/>
        </w:rPr>
        <w:t xml:space="preserve"> Supervisory Board, salary</w:t>
      </w:r>
      <w:r w:rsidRPr="00C1627C">
        <w:rPr>
          <w:rFonts w:ascii="Arial" w:hAnsi="Arial" w:cs="Arial"/>
          <w:sz w:val="20"/>
          <w:szCs w:val="20"/>
        </w:rPr>
        <w:t xml:space="preserve"> for the assisting apparatus of the </w:t>
      </w:r>
      <w:r w:rsidR="00615744">
        <w:rPr>
          <w:rFonts w:ascii="Arial" w:hAnsi="Arial" w:cs="Arial"/>
          <w:sz w:val="20"/>
          <w:szCs w:val="20"/>
        </w:rPr>
        <w:t>Board of Directors and other operating expenses</w:t>
      </w:r>
    </w:p>
    <w:p w:rsidR="00615744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27C">
        <w:rPr>
          <w:rFonts w:ascii="Arial" w:hAnsi="Arial" w:cs="Arial"/>
          <w:sz w:val="20"/>
          <w:szCs w:val="20"/>
        </w:rPr>
        <w:t xml:space="preserve">Article 14: Implementation effect </w:t>
      </w:r>
    </w:p>
    <w:p w:rsidR="00615744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27C">
        <w:rPr>
          <w:rFonts w:ascii="Arial" w:hAnsi="Arial" w:cs="Arial"/>
          <w:sz w:val="20"/>
          <w:szCs w:val="20"/>
        </w:rPr>
        <w:t xml:space="preserve">This Resolution </w:t>
      </w:r>
      <w:r w:rsidR="00615744">
        <w:rPr>
          <w:rFonts w:ascii="Arial" w:hAnsi="Arial" w:cs="Arial"/>
          <w:sz w:val="20"/>
          <w:szCs w:val="20"/>
        </w:rPr>
        <w:t>takes effect on July 18, 2020</w:t>
      </w:r>
    </w:p>
    <w:p w:rsidR="00C1627C" w:rsidRPr="00C1627C" w:rsidRDefault="00C1627C" w:rsidP="00C16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27C">
        <w:rPr>
          <w:rFonts w:ascii="Arial" w:hAnsi="Arial" w:cs="Arial"/>
          <w:sz w:val="20"/>
          <w:szCs w:val="20"/>
        </w:rPr>
        <w:t xml:space="preserve">All shareholders, Board of Directors, </w:t>
      </w:r>
      <w:r w:rsidR="00615744">
        <w:rPr>
          <w:rFonts w:ascii="Arial" w:hAnsi="Arial" w:cs="Arial"/>
          <w:sz w:val="20"/>
          <w:szCs w:val="20"/>
        </w:rPr>
        <w:t>Supervisor Board</w:t>
      </w:r>
      <w:r w:rsidRPr="00C1627C">
        <w:rPr>
          <w:rFonts w:ascii="Arial" w:hAnsi="Arial" w:cs="Arial"/>
          <w:sz w:val="20"/>
          <w:szCs w:val="20"/>
        </w:rPr>
        <w:t xml:space="preserve">, </w:t>
      </w:r>
      <w:r w:rsidR="00615744">
        <w:rPr>
          <w:rFonts w:ascii="Arial" w:hAnsi="Arial" w:cs="Arial"/>
          <w:sz w:val="20"/>
          <w:szCs w:val="20"/>
        </w:rPr>
        <w:t>Management Board</w:t>
      </w:r>
      <w:r w:rsidRPr="00C1627C">
        <w:rPr>
          <w:rFonts w:ascii="Arial" w:hAnsi="Arial" w:cs="Arial"/>
          <w:sz w:val="20"/>
          <w:szCs w:val="20"/>
        </w:rPr>
        <w:t xml:space="preserve"> of </w:t>
      </w:r>
      <w:r w:rsidR="00615744" w:rsidRPr="004A718C">
        <w:rPr>
          <w:rFonts w:ascii="Arial" w:hAnsi="Arial" w:cs="Arial"/>
          <w:sz w:val="20"/>
          <w:szCs w:val="20"/>
        </w:rPr>
        <w:t>Architects &amp; Construction Service Corporation</w:t>
      </w:r>
      <w:r w:rsidR="00615744">
        <w:rPr>
          <w:rFonts w:ascii="Arial" w:hAnsi="Arial" w:cs="Arial"/>
          <w:sz w:val="20"/>
          <w:szCs w:val="20"/>
        </w:rPr>
        <w:t xml:space="preserve"> in</w:t>
      </w:r>
      <w:r w:rsidRPr="00C1627C">
        <w:rPr>
          <w:rFonts w:ascii="Arial" w:hAnsi="Arial" w:cs="Arial"/>
          <w:sz w:val="20"/>
          <w:szCs w:val="20"/>
        </w:rPr>
        <w:t xml:space="preserve"> tenure </w:t>
      </w:r>
      <w:r w:rsidR="00615744">
        <w:rPr>
          <w:rFonts w:ascii="Arial" w:hAnsi="Arial" w:cs="Arial"/>
          <w:sz w:val="20"/>
          <w:szCs w:val="20"/>
        </w:rPr>
        <w:t xml:space="preserve">of </w:t>
      </w:r>
      <w:r w:rsidRPr="00C1627C">
        <w:rPr>
          <w:rFonts w:ascii="Arial" w:hAnsi="Arial" w:cs="Arial"/>
          <w:sz w:val="20"/>
          <w:szCs w:val="20"/>
        </w:rPr>
        <w:t xml:space="preserve">2020 - 2025 are responsible for implementing this </w:t>
      </w:r>
      <w:r w:rsidR="00615744">
        <w:rPr>
          <w:rFonts w:ascii="Arial" w:hAnsi="Arial" w:cs="Arial"/>
          <w:sz w:val="20"/>
          <w:szCs w:val="20"/>
        </w:rPr>
        <w:t>annual General Meeting of</w:t>
      </w:r>
      <w:r w:rsidR="0066491C">
        <w:rPr>
          <w:rFonts w:ascii="Arial" w:hAnsi="Arial" w:cs="Arial"/>
          <w:sz w:val="20"/>
          <w:szCs w:val="20"/>
        </w:rPr>
        <w:t xml:space="preserve"> Shareholders.</w:t>
      </w:r>
      <w:bookmarkStart w:id="0" w:name="_GoBack"/>
      <w:bookmarkEnd w:id="0"/>
    </w:p>
    <w:sectPr w:rsidR="00C1627C" w:rsidRPr="00C1627C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0EA4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0DDF"/>
    <w:rsid w:val="000E27BC"/>
    <w:rsid w:val="000E4CD5"/>
    <w:rsid w:val="000E518E"/>
    <w:rsid w:val="000E71F4"/>
    <w:rsid w:val="000F76F2"/>
    <w:rsid w:val="001110AA"/>
    <w:rsid w:val="00114F74"/>
    <w:rsid w:val="00125D2A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0A8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53DE8"/>
    <w:rsid w:val="003707DF"/>
    <w:rsid w:val="003716B9"/>
    <w:rsid w:val="0037607E"/>
    <w:rsid w:val="00376C10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379F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61C6"/>
    <w:rsid w:val="00496733"/>
    <w:rsid w:val="004A554D"/>
    <w:rsid w:val="004A718C"/>
    <w:rsid w:val="004B2157"/>
    <w:rsid w:val="004B2BA6"/>
    <w:rsid w:val="004B4798"/>
    <w:rsid w:val="004B75CD"/>
    <w:rsid w:val="004C144F"/>
    <w:rsid w:val="004C7A9A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5B7E"/>
    <w:rsid w:val="00567B98"/>
    <w:rsid w:val="00576325"/>
    <w:rsid w:val="00576A91"/>
    <w:rsid w:val="00576D1D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15744"/>
    <w:rsid w:val="00617AFE"/>
    <w:rsid w:val="0063035E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6491C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14E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50F3E"/>
    <w:rsid w:val="00751972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56538"/>
    <w:rsid w:val="00962777"/>
    <w:rsid w:val="00964DEC"/>
    <w:rsid w:val="009660C5"/>
    <w:rsid w:val="00980267"/>
    <w:rsid w:val="00981275"/>
    <w:rsid w:val="00981536"/>
    <w:rsid w:val="00983DF7"/>
    <w:rsid w:val="00985126"/>
    <w:rsid w:val="00985B6A"/>
    <w:rsid w:val="0098619C"/>
    <w:rsid w:val="0099040A"/>
    <w:rsid w:val="009A064A"/>
    <w:rsid w:val="009A6F47"/>
    <w:rsid w:val="009C28F2"/>
    <w:rsid w:val="009E1744"/>
    <w:rsid w:val="009E3716"/>
    <w:rsid w:val="009E4AC5"/>
    <w:rsid w:val="009E5DD2"/>
    <w:rsid w:val="009F0EDD"/>
    <w:rsid w:val="009F2709"/>
    <w:rsid w:val="00A050AA"/>
    <w:rsid w:val="00A05149"/>
    <w:rsid w:val="00A06443"/>
    <w:rsid w:val="00A06521"/>
    <w:rsid w:val="00A128FC"/>
    <w:rsid w:val="00A23E8D"/>
    <w:rsid w:val="00A34999"/>
    <w:rsid w:val="00A405EB"/>
    <w:rsid w:val="00A40625"/>
    <w:rsid w:val="00A41A9D"/>
    <w:rsid w:val="00A4710B"/>
    <w:rsid w:val="00A47614"/>
    <w:rsid w:val="00A55655"/>
    <w:rsid w:val="00A55C74"/>
    <w:rsid w:val="00A61FAF"/>
    <w:rsid w:val="00A63B33"/>
    <w:rsid w:val="00A63B6C"/>
    <w:rsid w:val="00A83D35"/>
    <w:rsid w:val="00A87ED0"/>
    <w:rsid w:val="00A92963"/>
    <w:rsid w:val="00AA077E"/>
    <w:rsid w:val="00AA1BAA"/>
    <w:rsid w:val="00AA281C"/>
    <w:rsid w:val="00AA4D2D"/>
    <w:rsid w:val="00AA54AD"/>
    <w:rsid w:val="00AB2C99"/>
    <w:rsid w:val="00AB2EDA"/>
    <w:rsid w:val="00AB32F6"/>
    <w:rsid w:val="00AB4B26"/>
    <w:rsid w:val="00AC075C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5D5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1627C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4C4E"/>
    <w:rsid w:val="00D370AF"/>
    <w:rsid w:val="00D415AC"/>
    <w:rsid w:val="00D42041"/>
    <w:rsid w:val="00D42678"/>
    <w:rsid w:val="00D43EF6"/>
    <w:rsid w:val="00D46631"/>
    <w:rsid w:val="00D472EC"/>
    <w:rsid w:val="00D52C26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48EB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2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6289"/>
    <w:rsid w:val="00E96D65"/>
    <w:rsid w:val="00EA25C3"/>
    <w:rsid w:val="00EA4C28"/>
    <w:rsid w:val="00EA6EE7"/>
    <w:rsid w:val="00EB4EB7"/>
    <w:rsid w:val="00EC2D2D"/>
    <w:rsid w:val="00EC37DE"/>
    <w:rsid w:val="00ED283C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5494A"/>
    <w:rsid w:val="00F733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E23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387</cp:revision>
  <dcterms:created xsi:type="dcterms:W3CDTF">2019-10-16T10:03:00Z</dcterms:created>
  <dcterms:modified xsi:type="dcterms:W3CDTF">2020-07-23T07:56:00Z</dcterms:modified>
</cp:coreProperties>
</file>